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left"/>
        <w:rPr>
          <w:b w:val="1"/>
          <w:sz w:val="34"/>
          <w:szCs w:val="34"/>
        </w:rPr>
      </w:pPr>
      <w:bookmarkStart w:colFirst="0" w:colLast="0" w:name="_m5te0ptspm3i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🟣 DIFERENCIA ENTRE LOCUCIÓN VERBAL Y PERÍFRASIS VERBAL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  <w:t xml:space="preserve">Aunque </w:t>
      </w:r>
      <w:r w:rsidDel="00000000" w:rsidR="00000000" w:rsidRPr="00000000">
        <w:rPr>
          <w:b w:val="1"/>
          <w:rtl w:val="0"/>
        </w:rPr>
        <w:t xml:space="preserve">ambas combinan dos o más verbos o palabras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no significan lo mismo ni funcionan igual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143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6480"/>
        <w:gridCol w:w="6060"/>
        <w:tblGridChange w:id="0">
          <w:tblGrid>
            <w:gridCol w:w="1770"/>
            <w:gridCol w:w="6480"/>
            <w:gridCol w:w="60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Heading3"/>
              <w:keepNext w:val="0"/>
              <w:keepLines w:val="0"/>
              <w:spacing w:before="280" w:line="240" w:lineRule="auto"/>
              <w:rPr>
                <w:b w:val="1"/>
                <w:color w:val="000000"/>
                <w:sz w:val="26"/>
                <w:szCs w:val="26"/>
              </w:rPr>
            </w:pPr>
            <w:bookmarkStart w:colFirst="0" w:colLast="0" w:name="_b4twg1ti5vk1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3"/>
              <w:keepNext w:val="0"/>
              <w:keepLines w:val="0"/>
              <w:spacing w:before="280" w:line="240" w:lineRule="auto"/>
              <w:jc w:val="center"/>
              <w:rPr>
                <w:b w:val="1"/>
                <w:sz w:val="26"/>
                <w:szCs w:val="26"/>
              </w:rPr>
            </w:pPr>
            <w:bookmarkStart w:colFirst="0" w:colLast="0" w:name="_b4twg1ti5vk1" w:id="1"/>
            <w:bookmarkEnd w:id="1"/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1. PERÍFRASIS VERBAL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Style w:val="Heading3"/>
              <w:keepNext w:val="0"/>
              <w:keepLines w:val="0"/>
              <w:spacing w:before="280" w:line="240" w:lineRule="auto"/>
              <w:jc w:val="center"/>
              <w:rPr>
                <w:b w:val="1"/>
                <w:sz w:val="26"/>
                <w:szCs w:val="26"/>
              </w:rPr>
            </w:pPr>
            <w:bookmarkStart w:colFirst="0" w:colLast="0" w:name="_gblmuy7nlb3i" w:id="2"/>
            <w:bookmarkEnd w:id="2"/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2. LOCUCIÓN VERBAL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Definición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360" w:lineRule="auto"/>
              <w:jc w:val="both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Es una </w:t>
            </w:r>
            <w:r w:rsidDel="00000000" w:rsidR="00000000" w:rsidRPr="00000000">
              <w:rPr>
                <w:b w:val="1"/>
                <w:rtl w:val="0"/>
              </w:rPr>
              <w:t xml:space="preserve">construcción formada por un verbo auxiliar (conjugado)</w:t>
            </w:r>
            <w:r w:rsidDel="00000000" w:rsidR="00000000" w:rsidRPr="00000000">
              <w:rPr>
                <w:rtl w:val="0"/>
              </w:rPr>
              <w:t xml:space="preserve"> + </w:t>
            </w:r>
            <w:r w:rsidDel="00000000" w:rsidR="00000000" w:rsidRPr="00000000">
              <w:rPr>
                <w:b w:val="1"/>
                <w:rtl w:val="0"/>
              </w:rPr>
              <w:t xml:space="preserve">un verbo en forma no personal</w:t>
            </w:r>
            <w:r w:rsidDel="00000000" w:rsidR="00000000" w:rsidRPr="00000000">
              <w:rPr>
                <w:rtl w:val="0"/>
              </w:rPr>
              <w:t xml:space="preserve"> (infinitivo, gerundio o participio)</w:t>
              <w:br w:type="textWrapping"/>
              <w:t xml:space="preserve"> ➡️ Funciona </w:t>
            </w:r>
            <w:r w:rsidDel="00000000" w:rsidR="00000000" w:rsidRPr="00000000">
              <w:rPr>
                <w:b w:val="1"/>
                <w:rtl w:val="0"/>
              </w:rPr>
              <w:t xml:space="preserve">como un solo núcleo verbal</w:t>
            </w: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360" w:lineRule="auto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Es una </w:t>
            </w:r>
            <w:r w:rsidDel="00000000" w:rsidR="00000000" w:rsidRPr="00000000">
              <w:rPr>
                <w:b w:val="1"/>
                <w:rtl w:val="0"/>
              </w:rPr>
              <w:t xml:space="preserve">expresión fija</w:t>
            </w:r>
            <w:r w:rsidDel="00000000" w:rsidR="00000000" w:rsidRPr="00000000">
              <w:rPr>
                <w:rtl w:val="0"/>
              </w:rPr>
              <w:t xml:space="preserve"> de </w:t>
            </w:r>
            <w:r w:rsidDel="00000000" w:rsidR="00000000" w:rsidRPr="00000000">
              <w:rPr>
                <w:b w:val="1"/>
                <w:rtl w:val="0"/>
              </w:rPr>
              <w:t xml:space="preserve">varias palabras</w:t>
            </w:r>
            <w:r w:rsidDel="00000000" w:rsidR="00000000" w:rsidRPr="00000000">
              <w:rPr>
                <w:rtl w:val="0"/>
              </w:rPr>
              <w:t xml:space="preserve"> que </w:t>
            </w:r>
            <w:r w:rsidDel="00000000" w:rsidR="00000000" w:rsidRPr="00000000">
              <w:rPr>
                <w:b w:val="1"/>
                <w:rtl w:val="0"/>
              </w:rPr>
              <w:t xml:space="preserve">funciona como un único verbo</w:t>
            </w:r>
            <w:r w:rsidDel="00000000" w:rsidR="00000000" w:rsidRPr="00000000">
              <w:rPr>
                <w:rtl w:val="0"/>
              </w:rPr>
              <w:t xml:space="preserve"> y tiene un </w:t>
            </w:r>
            <w:r w:rsidDel="00000000" w:rsidR="00000000" w:rsidRPr="00000000">
              <w:rPr>
                <w:b w:val="1"/>
                <w:rtl w:val="0"/>
              </w:rPr>
              <w:t xml:space="preserve">significado figurado.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Características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3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El verbo </w:t>
            </w:r>
            <w:r w:rsidDel="00000000" w:rsidR="00000000" w:rsidRPr="00000000">
              <w:rPr>
                <w:b w:val="1"/>
                <w:rtl w:val="0"/>
              </w:rPr>
              <w:t xml:space="preserve">auxiliar</w:t>
            </w:r>
            <w:r w:rsidDel="00000000" w:rsidR="00000000" w:rsidRPr="00000000">
              <w:rPr>
                <w:rtl w:val="0"/>
              </w:rPr>
              <w:t xml:space="preserve"> aporta información gramatical (tiempo, modo, persona).</w:t>
              <w:br w:type="textWrapping"/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El </w:t>
            </w:r>
            <w:r w:rsidDel="00000000" w:rsidR="00000000" w:rsidRPr="00000000">
              <w:rPr>
                <w:b w:val="1"/>
                <w:rtl w:val="0"/>
              </w:rPr>
              <w:t xml:space="preserve">verbo principal</w:t>
            </w:r>
            <w:r w:rsidDel="00000000" w:rsidR="00000000" w:rsidRPr="00000000">
              <w:rPr>
                <w:rtl w:val="0"/>
              </w:rPr>
              <w:t xml:space="preserve"> aporta el significado de la acción.</w:t>
              <w:br w:type="textWrapping"/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Siempre</w:t>
            </w:r>
            <w:r w:rsidDel="00000000" w:rsidR="00000000" w:rsidRPr="00000000">
              <w:rPr>
                <w:rtl w:val="0"/>
              </w:rPr>
              <w:t xml:space="preserve"> hay un verbo en infinitivo, gerundio o participio.</w:t>
              <w:br w:type="textWrapping"/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El significado es </w:t>
            </w:r>
            <w:r w:rsidDel="00000000" w:rsidR="00000000" w:rsidRPr="00000000">
              <w:rPr>
                <w:b w:val="1"/>
                <w:rtl w:val="0"/>
              </w:rPr>
              <w:t xml:space="preserve">literal</w:t>
            </w:r>
            <w:r w:rsidDel="00000000" w:rsidR="00000000" w:rsidRPr="00000000">
              <w:rPr>
                <w:rtl w:val="0"/>
              </w:rPr>
              <w:t xml:space="preserve">, no figurado.</w:t>
              <w:br w:type="textWrapping"/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No admite sustitución por una sola palabra.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No siempre contiene formas no personales del verbo.</w:t>
              <w:br w:type="textWrapping"/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El significado </w:t>
            </w:r>
            <w:r w:rsidDel="00000000" w:rsidR="00000000" w:rsidRPr="00000000">
              <w:rPr>
                <w:b w:val="1"/>
                <w:rtl w:val="0"/>
              </w:rPr>
              <w:t xml:space="preserve">no es literal</w:t>
            </w:r>
            <w:r w:rsidDel="00000000" w:rsidR="00000000" w:rsidRPr="00000000">
              <w:rPr>
                <w:rtl w:val="0"/>
              </w:rPr>
              <w:t xml:space="preserve">: se entiende como una expresión establecida por el uso.</w:t>
              <w:br w:type="textWrapping"/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Puede sustituirse por </w:t>
            </w:r>
            <w:r w:rsidDel="00000000" w:rsidR="00000000" w:rsidRPr="00000000">
              <w:rPr>
                <w:b w:val="1"/>
                <w:rtl w:val="0"/>
              </w:rPr>
              <w:t xml:space="preserve">un solo verbo equivalente</w:t>
            </w:r>
            <w:r w:rsidDel="00000000" w:rsidR="00000000" w:rsidRPr="00000000">
              <w:rPr>
                <w:rtl w:val="0"/>
              </w:rPr>
              <w:t xml:space="preserve">.</w:t>
              <w:br w:type="textWrapping"/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Es </w:t>
            </w:r>
            <w:r w:rsidDel="00000000" w:rsidR="00000000" w:rsidRPr="00000000">
              <w:rPr>
                <w:b w:val="1"/>
                <w:rtl w:val="0"/>
              </w:rPr>
              <w:t xml:space="preserve">fija</w:t>
            </w:r>
            <w:r w:rsidDel="00000000" w:rsidR="00000000" w:rsidRPr="00000000">
              <w:rPr>
                <w:rtl w:val="0"/>
              </w:rPr>
              <w:t xml:space="preserve">: no se puede cambiar el orden ni sustituir palabras.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Ejemplos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Voy a estudiar. → (</w:t>
            </w:r>
            <w:r w:rsidDel="00000000" w:rsidR="00000000" w:rsidRPr="00000000">
              <w:rPr>
                <w:i w:val="1"/>
                <w:rtl w:val="0"/>
              </w:rPr>
              <w:t xml:space="preserve">acción futura, no figurada</w:t>
            </w:r>
            <w:r w:rsidDel="00000000" w:rsidR="00000000" w:rsidRPr="00000000">
              <w:rPr>
                <w:rtl w:val="0"/>
              </w:rPr>
              <w:t xml:space="preserve">)</w:t>
              <w:br w:type="textWrapping"/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Está leyendo. → (</w:t>
            </w:r>
            <w:r w:rsidDel="00000000" w:rsidR="00000000" w:rsidRPr="00000000">
              <w:rPr>
                <w:i w:val="1"/>
                <w:rtl w:val="0"/>
              </w:rPr>
              <w:t xml:space="preserve">acción en curso</w:t>
            </w:r>
            <w:r w:rsidDel="00000000" w:rsidR="00000000" w:rsidRPr="00000000">
              <w:rPr>
                <w:rtl w:val="0"/>
              </w:rPr>
              <w:t xml:space="preserve">)</w:t>
              <w:br w:type="textWrapping"/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Tiene que venir. → (</w:t>
            </w:r>
            <w:r w:rsidDel="00000000" w:rsidR="00000000" w:rsidRPr="00000000">
              <w:rPr>
                <w:i w:val="1"/>
                <w:rtl w:val="0"/>
              </w:rPr>
              <w:t xml:space="preserve">obligación</w:t>
            </w:r>
            <w:r w:rsidDel="00000000" w:rsidR="00000000" w:rsidRPr="00000000">
              <w:rPr>
                <w:rtl w:val="0"/>
              </w:rPr>
              <w:t xml:space="preserve">)</w:t>
              <w:br w:type="textWrapping"/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Acabo de llegar. → (</w:t>
            </w:r>
            <w:r w:rsidDel="00000000" w:rsidR="00000000" w:rsidRPr="00000000">
              <w:rPr>
                <w:i w:val="1"/>
                <w:rtl w:val="0"/>
              </w:rPr>
              <w:t xml:space="preserve">acción recién terminada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Echar de menos → </w:t>
            </w:r>
            <w:r w:rsidDel="00000000" w:rsidR="00000000" w:rsidRPr="00000000">
              <w:rPr>
                <w:i w:val="1"/>
                <w:rtl w:val="0"/>
              </w:rPr>
              <w:t xml:space="preserve">extrañar</w:t>
            </w:r>
            <w:r w:rsidDel="00000000" w:rsidR="00000000" w:rsidRPr="00000000">
              <w:rPr>
                <w:rtl w:val="0"/>
              </w:rPr>
              <w:t xml:space="preserve">.</w:t>
              <w:br w:type="textWrapping"/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Dar con alguien → </w:t>
            </w:r>
            <w:r w:rsidDel="00000000" w:rsidR="00000000" w:rsidRPr="00000000">
              <w:rPr>
                <w:i w:val="1"/>
                <w:rtl w:val="0"/>
              </w:rPr>
              <w:t xml:space="preserve">encontrar</w:t>
            </w:r>
            <w:r w:rsidDel="00000000" w:rsidR="00000000" w:rsidRPr="00000000">
              <w:rPr>
                <w:rtl w:val="0"/>
              </w:rPr>
              <w:t xml:space="preserve">.</w:t>
              <w:br w:type="textWrapping"/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Tener en cuenta → </w:t>
            </w:r>
            <w:r w:rsidDel="00000000" w:rsidR="00000000" w:rsidRPr="00000000">
              <w:rPr>
                <w:i w:val="1"/>
                <w:rtl w:val="0"/>
              </w:rPr>
              <w:t xml:space="preserve">considerar</w:t>
            </w:r>
            <w:r w:rsidDel="00000000" w:rsidR="00000000" w:rsidRPr="00000000">
              <w:rPr>
                <w:rtl w:val="0"/>
              </w:rPr>
              <w:t xml:space="preserve">.</w:t>
              <w:br w:type="textWrapping"/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Hacer caso → </w:t>
            </w:r>
            <w:r w:rsidDel="00000000" w:rsidR="00000000" w:rsidRPr="00000000">
              <w:rPr>
                <w:i w:val="1"/>
                <w:rtl w:val="0"/>
              </w:rPr>
              <w:t xml:space="preserve">atender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="240" w:lineRule="auto"/>
        <w:rPr>
          <w:b w:val="1"/>
          <w:sz w:val="34"/>
          <w:szCs w:val="34"/>
        </w:rPr>
      </w:pPr>
      <w:bookmarkStart w:colFirst="0" w:colLast="0" w:name="_2k33ozkk54e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="240" w:lineRule="auto"/>
        <w:rPr>
          <w:b w:val="1"/>
          <w:sz w:val="34"/>
          <w:szCs w:val="34"/>
        </w:rPr>
      </w:pPr>
      <w:bookmarkStart w:colFirst="0" w:colLast="0" w:name="_d17eg0ohm9xt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(RESUMEN) DIFERENCIAS CLAVE</w:t>
      </w:r>
    </w:p>
    <w:tbl>
      <w:tblPr>
        <w:tblStyle w:val="Table2"/>
        <w:tblW w:w="13935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545"/>
        <w:gridCol w:w="6615"/>
        <w:gridCol w:w="5775"/>
        <w:tblGridChange w:id="0">
          <w:tblGrid>
            <w:gridCol w:w="1545"/>
            <w:gridCol w:w="6615"/>
            <w:gridCol w:w="57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Aspecto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Perífrasis verbal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Locución verbal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Significado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Literal, gramatical (aspecto o modo).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Figurativo o idiomático.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Estructura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Verbo conjugado + verbo en infinitivo, gerundio o participio.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Verbo + complemento fijo (no siempre infinitivo/gerundio).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 de sentido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Expresa una acción compuesta (ej. “voy a comer” → “comeré pronto”).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Expresa una idea figurada (ej. “echar de menos” → “extrañar”).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Sustituible por un verbo?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No.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Sí, por uno equivalente.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Ejemplo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“Acabo de llegar.”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“Echar de menos.”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Cambio de elementos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A veces posible.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No se puede alterar.</w:t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566.929133858267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