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176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640" w:type="dxa"/>
        <w:jc w:val="left"/>
        <w:tblInd w:w="-55" w:type="dxa"/>
        <w:tblBorders>
          <w:top w:val="single" w:sz="20" w:space="0" w:color="000080"/>
          <w:bottom w:val="single" w:sz="20" w:space="0" w:color="000080"/>
          <w:insideH w:val="single" w:sz="20" w:space="0" w:color="00008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92"/>
        <w:gridCol w:w="3303"/>
        <w:gridCol w:w="3145"/>
      </w:tblGrid>
      <w:tr>
        <w:trPr/>
        <w:tc>
          <w:tcPr>
            <w:tcW w:w="3192" w:type="dxa"/>
            <w:tcBorders>
              <w:top w:val="single" w:sz="20" w:space="0" w:color="000080"/>
              <w:bottom w:val="single" w:sz="20" w:space="0" w:color="000080"/>
              <w:insideH w:val="single" w:sz="20" w:space="0" w:color="000080"/>
            </w:tcBorders>
            <w:shd w:fill="FFB515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Llengua catalana</w:t>
            </w:r>
          </w:p>
        </w:tc>
        <w:tc>
          <w:tcPr>
            <w:tcW w:w="3303" w:type="dxa"/>
            <w:tcBorders>
              <w:top w:val="single" w:sz="20" w:space="0" w:color="000080"/>
              <w:bottom w:val="single" w:sz="20" w:space="0" w:color="000080"/>
              <w:insideH w:val="single" w:sz="20" w:space="0" w:color="000080"/>
            </w:tcBorders>
            <w:shd w:fill="FFB515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2n ESO</w:t>
            </w:r>
          </w:p>
        </w:tc>
        <w:tc>
          <w:tcPr>
            <w:tcW w:w="3145" w:type="dxa"/>
            <w:tcBorders>
              <w:top w:val="single" w:sz="20" w:space="0" w:color="000080"/>
              <w:bottom w:val="single" w:sz="20" w:space="0" w:color="000080"/>
              <w:insideH w:val="single" w:sz="20" w:space="0" w:color="000080"/>
            </w:tcBorders>
            <w:shd w:fill="00008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 acadèmic 202</w:t>
            </w:r>
            <w:r>
              <w:rPr>
                <w:rFonts w:eastAsia="Verdana" w:cs="Verdana" w:ascii="Verdana" w:hAnsi="Verdana"/>
                <w:color w:val="FFFFFF"/>
                <w:sz w:val="22"/>
                <w:szCs w:val="22"/>
              </w:rPr>
              <w:t>5</w:t>
            </w: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-202</w:t>
            </w:r>
            <w:r>
              <w:rPr>
                <w:rFonts w:eastAsia="Verdana" w:cs="Verdana" w:ascii="Verdana" w:hAnsi="Verdana"/>
                <w:color w:val="FFFFFF"/>
                <w:sz w:val="22"/>
                <w:szCs w:val="22"/>
              </w:rPr>
              <w:t>6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176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2"/>
        <w:tblW w:w="9638" w:type="dxa"/>
        <w:jc w:val="left"/>
        <w:tblInd w:w="-5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00008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color w:val="FFFFFF"/>
                <w:sz w:val="22"/>
                <w:szCs w:val="22"/>
              </w:rPr>
              <w:t>UNITATS DIDÀCTIQUES</w:t>
            </w:r>
          </w:p>
        </w:tc>
      </w:tr>
    </w:tbl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>Es treballaran o plantejaran, al llarg del curs, els sabers bàsics detallats a la taula. Aquesta previsió pot variar substancialment. Aquestes unitats engloben activitats i proves diverses. Per a qualsevol dubte, consultau el professorat titular de la matèria.</w:t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tbl>
      <w:tblPr>
        <w:tblStyle w:val="Table3"/>
        <w:tblW w:w="9645" w:type="dxa"/>
        <w:jc w:val="left"/>
        <w:tblInd w:w="-5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09"/>
        <w:gridCol w:w="3450"/>
        <w:gridCol w:w="2986"/>
      </w:tblGrid>
      <w:tr>
        <w:trPr/>
        <w:tc>
          <w:tcPr>
            <w:tcW w:w="3209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1a avaluació</w:t>
            </w:r>
          </w:p>
        </w:tc>
        <w:tc>
          <w:tcPr>
            <w:tcW w:w="345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2a avaluació</w:t>
            </w:r>
          </w:p>
        </w:tc>
        <w:tc>
          <w:tcPr>
            <w:tcW w:w="2986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3a avaluació</w:t>
            </w:r>
          </w:p>
        </w:tc>
      </w:tr>
      <w:tr>
        <w:trPr>
          <w:trHeight w:val="3421" w:hRule="atLeast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2"/>
              <w:ind w:left="0" w:right="0" w:hanging="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1. CONTA-M’HO!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2"/>
              <w:ind w:left="0" w:right="0" w:hanging="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62"/>
              <w:ind w:left="720" w:right="0" w:hanging="360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Repàs tipus de text. Text expositiu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62"/>
              <w:ind w:left="720" w:right="0" w:hanging="360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 xml:space="preserve">Consonantisme. Les grafies p/b, t/d, c/g. 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62"/>
              <w:ind w:left="720" w:right="0" w:hanging="360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Preposicions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62"/>
              <w:ind w:left="720" w:right="0" w:hanging="360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La diversitat lingüística a Espanya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2"/>
              <w:ind w:left="0" w:right="0" w:hanging="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3. HI DIC LA MEVA!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2"/>
              <w:ind w:left="0" w:right="0" w:hanging="0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40" w:before="0" w:after="0"/>
              <w:ind w:left="720" w:right="0" w:hanging="360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El text argumentatiu.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40" w:before="0" w:after="0"/>
              <w:ind w:left="720" w:right="0" w:hanging="360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 xml:space="preserve">Consonantisme. La essa sorda i la essa sonora. 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40" w:before="0" w:after="0"/>
              <w:ind w:left="720" w:right="0" w:hanging="360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Pronoms i pronoms febles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40" w:before="0" w:after="0"/>
              <w:ind w:left="720" w:right="0" w:hanging="360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Barbarismes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2"/>
              <w:ind w:left="0" w:right="0" w:hanging="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5. COM FUNCIONA?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2"/>
              <w:ind w:left="0" w:right="0" w:hanging="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720" w:right="0" w:hanging="360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El text  instructiu/predictiu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720" w:right="0" w:hanging="360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Consonantisme. La ela geminada (l·l).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720" w:right="0" w:hanging="360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Repàs categories gramaticals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720" w:right="0" w:hanging="360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Sintagmes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720" w:right="0" w:hanging="360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Registres</w:t>
            </w:r>
          </w:p>
        </w:tc>
      </w:tr>
      <w:tr>
        <w:trPr>
          <w:trHeight w:val="1865" w:hRule="atLeast"/>
        </w:trPr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2"/>
              <w:ind w:left="0" w:right="0" w:hanging="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2. CONSTRUÏM UN RELAT?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2"/>
              <w:ind w:left="0" w:right="0" w:hanging="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La narrativa.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Consonantisme. Les grafies b/v.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Conjuncions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Tabú i eufemismes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2"/>
              <w:ind w:left="0" w:right="0" w:hanging="0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2"/>
              <w:ind w:left="0" w:right="0" w:hanging="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4. ES POT DIR RIMANT?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2"/>
              <w:ind w:left="0" w:right="0" w:hanging="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40" w:before="0" w:after="0"/>
              <w:ind w:left="720" w:right="0" w:hanging="36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La poesia.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40" w:before="0" w:after="0"/>
              <w:ind w:left="720" w:right="0" w:hanging="36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Consonantisme. Les grafies g/j, tg/tj. Les grafies x/ix, tx/ig.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40" w:before="0" w:after="0"/>
              <w:ind w:left="720" w:right="0" w:hanging="36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Dialectologia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40" w:before="0" w:after="0"/>
              <w:ind w:left="720" w:right="0" w:hanging="36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Neologia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2"/>
              <w:ind w:left="0" w:right="0" w:hanging="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6. AMUNT EL TELÓ!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2"/>
              <w:ind w:left="0" w:right="0" w:hanging="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40" w:before="0" w:after="0"/>
              <w:ind w:left="720" w:right="0" w:hanging="36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El teatre?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40" w:before="0" w:after="62"/>
              <w:ind w:left="720" w:right="0" w:hanging="36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Consonantisme. Les grafies m/n. La h i la r.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40" w:before="0" w:after="62"/>
              <w:ind w:left="720" w:right="0" w:hanging="36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Tipus d’oracions.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2"/>
              <w:ind w:left="720" w:right="0" w:hanging="0"/>
              <w:jc w:val="both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176"/>
        <w:ind w:left="0" w:right="0" w:hanging="0"/>
        <w:jc w:val="left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tbl>
      <w:tblPr>
        <w:tblStyle w:val="Table4"/>
        <w:tblW w:w="9638" w:type="dxa"/>
        <w:jc w:val="left"/>
        <w:tblInd w:w="-5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00008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Criteris d’avaluació i procediment de qualificació</w:t>
            </w:r>
          </w:p>
        </w:tc>
      </w:tr>
    </w:tbl>
    <w:p>
      <w:pPr>
        <w:pStyle w:val="Normal"/>
        <w:jc w:val="center"/>
        <w:rPr>
          <w:rFonts w:ascii="Verdana" w:hAnsi="Verdana" w:eastAsia="Verdana" w:cs="Verdana"/>
          <w:color w:val="FF0000"/>
          <w:sz w:val="22"/>
          <w:szCs w:val="22"/>
        </w:rPr>
      </w:pPr>
      <w:r>
        <w:rPr>
          <w:rFonts w:eastAsia="Verdana" w:cs="Verdana" w:ascii="Verdana" w:hAnsi="Verdana"/>
          <w:color w:val="FF0000"/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>La nota de la matèria es calcularà de la següent manera:</w:t>
      </w:r>
    </w:p>
    <w:p>
      <w:pPr>
        <w:pStyle w:val="Normal"/>
        <w:ind w:left="720" w:hanging="0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numPr>
          <w:ilvl w:val="0"/>
          <w:numId w:val="4"/>
        </w:numPr>
        <w:ind w:left="1440" w:hanging="360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>Exàmens (proves escrites, orals, de lectura i altres): 60%</w:t>
      </w:r>
    </w:p>
    <w:p>
      <w:pPr>
        <w:pStyle w:val="Normal"/>
        <w:numPr>
          <w:ilvl w:val="0"/>
          <w:numId w:val="4"/>
        </w:numPr>
        <w:ind w:left="1440" w:hanging="360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>Activitats, tasques i treballs: 30%</w:t>
      </w:r>
    </w:p>
    <w:p>
      <w:pPr>
        <w:pStyle w:val="Normal"/>
        <w:numPr>
          <w:ilvl w:val="0"/>
          <w:numId w:val="4"/>
        </w:numPr>
        <w:ind w:left="1440" w:hanging="360"/>
        <w:jc w:val="both"/>
        <w:rPr>
          <w:rFonts w:ascii="Verdana" w:hAnsi="Verdana" w:eastAsia="Verdana" w:cs="Verdana"/>
          <w:sz w:val="22"/>
          <w:szCs w:val="22"/>
          <w:u w:val="none"/>
        </w:rPr>
      </w:pPr>
      <w:r>
        <w:rPr>
          <w:rFonts w:eastAsia="Verdana" w:cs="Verdana" w:ascii="Verdana" w:hAnsi="Verdana"/>
          <w:sz w:val="22"/>
          <w:szCs w:val="22"/>
        </w:rPr>
        <w:t>Actitud: 10%</w:t>
      </w:r>
    </w:p>
    <w:p>
      <w:pPr>
        <w:pStyle w:val="Normal"/>
        <w:ind w:left="720" w:hanging="0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sz w:val="22"/>
          <w:szCs w:val="22"/>
        </w:rPr>
        <w:t xml:space="preserve">Per obtenir la qualificació de l’avaluació final es farà la mitjana de les tres avaluacions amb els següents percentatges: </w:t>
      </w:r>
      <w:r>
        <w:rPr>
          <w:rFonts w:eastAsia="Verdana" w:cs="Verdana" w:ascii="Verdana" w:hAnsi="Verdana"/>
          <w:b/>
          <w:sz w:val="22"/>
          <w:szCs w:val="22"/>
        </w:rPr>
        <w:t>1a avaluació 20%</w:t>
      </w:r>
      <w:r>
        <w:rPr>
          <w:rFonts w:eastAsia="Verdana" w:cs="Verdana" w:ascii="Verdana" w:hAnsi="Verdana"/>
          <w:sz w:val="22"/>
          <w:szCs w:val="22"/>
        </w:rPr>
        <w:t xml:space="preserve">, </w:t>
      </w:r>
      <w:r>
        <w:rPr>
          <w:rFonts w:eastAsia="Verdana" w:cs="Verdana" w:ascii="Verdana" w:hAnsi="Verdana"/>
          <w:b/>
          <w:sz w:val="22"/>
          <w:szCs w:val="22"/>
        </w:rPr>
        <w:t>2a avaluació 30%</w:t>
      </w:r>
      <w:r>
        <w:rPr>
          <w:rFonts w:eastAsia="Verdana" w:cs="Verdana" w:ascii="Verdana" w:hAnsi="Verdana"/>
          <w:sz w:val="22"/>
          <w:szCs w:val="22"/>
        </w:rPr>
        <w:t xml:space="preserve"> i </w:t>
      </w:r>
      <w:r>
        <w:rPr>
          <w:rFonts w:eastAsia="Verdana" w:cs="Verdana" w:ascii="Verdana" w:hAnsi="Verdana"/>
          <w:b/>
          <w:sz w:val="22"/>
          <w:szCs w:val="22"/>
        </w:rPr>
        <w:t>3a avaluació 50%</w:t>
      </w:r>
      <w:r>
        <w:rPr>
          <w:rFonts w:eastAsia="Verdana" w:cs="Verdana" w:ascii="Verdana" w:hAnsi="Verdana"/>
          <w:sz w:val="22"/>
          <w:szCs w:val="22"/>
        </w:rPr>
        <w:t>; i amb la condició que la nota mínima de la darrera avaluació sigui un</w:t>
      </w:r>
      <w:r>
        <w:rPr>
          <w:rFonts w:eastAsia="Verdana" w:cs="Verdana" w:ascii="Verdana" w:hAnsi="Verdana"/>
          <w:b/>
          <w:sz w:val="22"/>
          <w:szCs w:val="22"/>
        </w:rPr>
        <w:t xml:space="preserve"> 5</w:t>
      </w:r>
      <w:r>
        <w:rPr>
          <w:rFonts w:eastAsia="Verdana" w:cs="Verdana" w:ascii="Verdana" w:hAnsi="Verdana"/>
          <w:sz w:val="22"/>
          <w:szCs w:val="22"/>
        </w:rPr>
        <w:t>, tenint en compte que és una matèria d’avaluació contínua.</w:t>
      </w:r>
    </w:p>
    <w:p>
      <w:pPr>
        <w:pStyle w:val="Normal"/>
        <w:ind w:left="720" w:hanging="0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ind w:left="720" w:hanging="0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>De forma resumida, a la matèria es valoraran especialment aquests aspectes: l’expressió oral, la comprensió oral, l’expressió escrita i la comprensió escrita.</w:t>
      </w:r>
    </w:p>
    <w:p>
      <w:pPr>
        <w:pStyle w:val="Normal"/>
        <w:ind w:left="720" w:hanging="0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tbl>
      <w:tblPr>
        <w:tblStyle w:val="Table5"/>
        <w:tblW w:w="9638" w:type="dxa"/>
        <w:jc w:val="left"/>
        <w:tblInd w:w="-5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00008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Normes bàsiques de funcionament</w:t>
            </w:r>
          </w:p>
        </w:tc>
      </w:tr>
    </w:tbl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eastAsia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La llengua utilitzada dins l’aula ha de ser la llengua catalana. </w:t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La plataforma virtual que s'utilitzarà durant el curs serà el Moodle, per tant, l'alumnat haurà d'estar pendent a les tasques que s'hi pengin. </w:t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>La participació en exercicis i activitats voluntàries es valorarà positivament.</w:t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L’alumnat de primer cicle ha de portar o un </w:t>
      </w:r>
      <w:r>
        <w:rPr>
          <w:rFonts w:eastAsia="Verdana" w:cs="Verdana" w:ascii="Verdana" w:hAnsi="Verdana"/>
          <w:b/>
          <w:sz w:val="22"/>
          <w:szCs w:val="22"/>
        </w:rPr>
        <w:t>quadern</w:t>
      </w:r>
      <w:r>
        <w:rPr>
          <w:rFonts w:eastAsia="Verdana" w:cs="Verdana" w:ascii="Verdana" w:hAnsi="Verdana"/>
          <w:sz w:val="22"/>
          <w:szCs w:val="22"/>
        </w:rPr>
        <w:t xml:space="preserve"> de colors o un </w:t>
      </w:r>
      <w:r>
        <w:rPr>
          <w:rFonts w:eastAsia="Verdana" w:cs="Verdana" w:ascii="Verdana" w:hAnsi="Verdana"/>
          <w:b/>
          <w:sz w:val="22"/>
          <w:szCs w:val="22"/>
        </w:rPr>
        <w:t>cartipàs</w:t>
      </w:r>
      <w:r>
        <w:rPr>
          <w:rFonts w:eastAsia="Verdana" w:cs="Verdana" w:ascii="Verdana" w:hAnsi="Verdana"/>
          <w:sz w:val="22"/>
          <w:szCs w:val="22"/>
        </w:rPr>
        <w:t xml:space="preserve"> amb fundes i es regirà pels següents criteris: </w:t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– </w:t>
      </w:r>
      <w:r>
        <w:rPr>
          <w:rFonts w:eastAsia="Verdana" w:cs="Verdana" w:ascii="Verdana" w:hAnsi="Verdana"/>
          <w:sz w:val="22"/>
          <w:szCs w:val="22"/>
        </w:rPr>
        <w:t>A la primera plana cal que l'alumne especifiqui: nom de la matèria, de l'alumne i del professor.</w:t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– </w:t>
      </w:r>
      <w:r>
        <w:rPr>
          <w:rFonts w:eastAsia="Verdana" w:cs="Verdana" w:ascii="Verdana" w:hAnsi="Verdana"/>
          <w:sz w:val="22"/>
          <w:szCs w:val="22"/>
        </w:rPr>
        <w:t>Al principi de cada unitat cal que l'alumne posi el títol i copiï el guió que li doni el professor.</w:t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– </w:t>
      </w:r>
      <w:r>
        <w:rPr>
          <w:rFonts w:eastAsia="Verdana" w:cs="Verdana" w:ascii="Verdana" w:hAnsi="Verdana"/>
          <w:sz w:val="22"/>
          <w:szCs w:val="22"/>
        </w:rPr>
        <w:t>Cal que l'alumne deixi els marges corresponents als dos costats i entre exercicis, resums, etc. No es poden fer dibuixos ni pintar als marges de les pàgines.</w:t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– </w:t>
      </w:r>
      <w:r>
        <w:rPr>
          <w:rFonts w:eastAsia="Verdana" w:cs="Verdana" w:ascii="Verdana" w:hAnsi="Verdana"/>
          <w:sz w:val="22"/>
          <w:szCs w:val="22"/>
        </w:rPr>
        <w:t>L'alumne ha de copiar els enunciats amb un color diferent a la seva resolució, i especificar-hi a quina pàgina, fotocòpia o document correspon.</w:t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– </w:t>
      </w:r>
      <w:r>
        <w:rPr>
          <w:rFonts w:eastAsia="Verdana" w:cs="Verdana" w:ascii="Verdana" w:hAnsi="Verdana"/>
          <w:sz w:val="22"/>
          <w:szCs w:val="22"/>
        </w:rPr>
        <w:t>S'ha de recalcar la necessitat d'escriure amb correcció ortogràfica i gramatical.</w:t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>- Cada errada ortogràfica restarà 0,1 fins a un màxim d’1 punt.</w:t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- Les tasques i els treballs s’han de lliurar en els terminis establerts. Si no, es penalitzarà. </w:t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6"/>
        <w:tblW w:w="9638" w:type="dxa"/>
        <w:jc w:val="left"/>
        <w:tblInd w:w="-5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000080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</w:t>
            </w: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terials didàctics</w:t>
            </w:r>
          </w:p>
        </w:tc>
      </w:tr>
    </w:tbl>
    <w:p>
      <w:pPr>
        <w:pStyle w:val="Normal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Llibre de text: </w:t>
      </w:r>
      <w:r>
        <w:rPr>
          <w:rFonts w:eastAsia="Verdana" w:cs="Verdana" w:ascii="Verdana" w:hAnsi="Verdana"/>
          <w:i/>
          <w:sz w:val="22"/>
          <w:szCs w:val="22"/>
        </w:rPr>
        <w:t>Llengua i literatura 2n ESO</w:t>
      </w:r>
      <w:r>
        <w:rPr>
          <w:rFonts w:eastAsia="Verdana" w:cs="Verdana" w:ascii="Verdana" w:hAnsi="Verdana"/>
          <w:sz w:val="22"/>
          <w:szCs w:val="22"/>
        </w:rPr>
        <w:t>, Comunitat en xarxa, editorial Vicens Vives.</w:t>
      </w:r>
    </w:p>
    <w:p>
      <w:pPr>
        <w:pStyle w:val="Normal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>Llibres de lectura:</w:t>
      </w:r>
    </w:p>
    <w:p>
      <w:pPr>
        <w:pStyle w:val="Normal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ind w:left="720" w:hanging="0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1a avaluació: </w:t>
      </w:r>
      <w:r>
        <w:rPr>
          <w:rFonts w:eastAsia="Verdana" w:cs="Verdana" w:ascii="Verdana" w:hAnsi="Verdana"/>
          <w:i/>
          <w:sz w:val="22"/>
          <w:szCs w:val="22"/>
        </w:rPr>
        <w:t>Ombres a la foscor</w:t>
      </w:r>
      <w:r>
        <w:rPr>
          <w:rFonts w:eastAsia="Verdana" w:cs="Verdana" w:ascii="Verdana" w:hAnsi="Verdana"/>
          <w:sz w:val="22"/>
          <w:szCs w:val="22"/>
        </w:rPr>
        <w:t xml:space="preserve">. Arturo Padilla. Ed. Estrella Polar. </w:t>
      </w:r>
    </w:p>
    <w:p>
      <w:pPr>
        <w:pStyle w:val="Normal"/>
        <w:ind w:left="720" w:hanging="0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ISBN </w:t>
      </w:r>
      <w:r>
        <w:rPr>
          <w:rFonts w:eastAsia="Verdana" w:cs="Verdana" w:ascii="Verdana" w:hAnsi="Verdana"/>
          <w:sz w:val="22"/>
          <w:szCs w:val="22"/>
          <w:highlight w:val="white"/>
        </w:rPr>
        <w:t>9788490578650.</w:t>
      </w:r>
    </w:p>
    <w:p>
      <w:pPr>
        <w:pStyle w:val="Normal"/>
        <w:ind w:left="720" w:hanging="0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ind w:left="720" w:hanging="0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>2a avaluació:</w:t>
      </w:r>
      <w:r>
        <w:rPr>
          <w:rFonts w:eastAsia="Verdana" w:cs="Verdana" w:ascii="Verdana" w:hAnsi="Verdana"/>
          <w:i/>
          <w:sz w:val="22"/>
          <w:szCs w:val="22"/>
        </w:rPr>
        <w:t xml:space="preserve"> La botiga de vides</w:t>
      </w:r>
      <w:r>
        <w:rPr>
          <w:rFonts w:eastAsia="Verdana" w:cs="Verdana" w:ascii="Verdana" w:hAnsi="Verdana"/>
          <w:sz w:val="22"/>
          <w:szCs w:val="22"/>
        </w:rPr>
        <w:t xml:space="preserve">. Adrià Aguacil. Ed. Animallibres, S.L. </w:t>
      </w:r>
    </w:p>
    <w:p>
      <w:pPr>
        <w:pStyle w:val="Normal"/>
        <w:ind w:left="720" w:hanging="0"/>
        <w:rPr>
          <w:rFonts w:ascii="Verdana" w:hAnsi="Verdana" w:eastAsia="Verdana" w:cs="Verdana"/>
          <w:color w:val="222222"/>
          <w:sz w:val="22"/>
          <w:szCs w:val="22"/>
        </w:rPr>
      </w:pPr>
      <w:r>
        <w:rPr>
          <w:rFonts w:eastAsia="Verdana" w:cs="Verdana" w:ascii="Verdana" w:hAnsi="Verdana"/>
          <w:color w:val="222222"/>
          <w:sz w:val="22"/>
          <w:szCs w:val="22"/>
        </w:rPr>
        <w:t>ISBN 9788417599942.</w:t>
      </w:r>
    </w:p>
    <w:p>
      <w:pPr>
        <w:pStyle w:val="Normal"/>
        <w:ind w:left="0" w:firstLine="720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ind w:left="720" w:hanging="0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>3a avaluació: Es facilitarà una llista oberta de lectures.</w:t>
      </w:r>
    </w:p>
    <w:p>
      <w:pPr>
        <w:pStyle w:val="Normal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Verdana" w:cs="Verdana" w:ascii="Verdana" w:hAnsi="Verdana"/>
          <w:sz w:val="22"/>
          <w:szCs w:val="22"/>
        </w:rPr>
        <w:drawing>
          <wp:anchor behindDoc="1" distT="114300" distB="114300" distL="114300" distR="114300" simplePos="0" locked="0" layoutInCell="1" allowOverlap="1" relativeHeight="4">
            <wp:simplePos x="0" y="0"/>
            <wp:positionH relativeFrom="column">
              <wp:posOffset>3228975</wp:posOffset>
            </wp:positionH>
            <wp:positionV relativeFrom="paragraph">
              <wp:posOffset>443865</wp:posOffset>
            </wp:positionV>
            <wp:extent cx="895350" cy="1432560"/>
            <wp:effectExtent l="0" t="0" r="0" b="0"/>
            <wp:wrapNone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114300" distB="114300" distL="114300" distR="114300" simplePos="0" locked="0" layoutInCell="1" allowOverlap="1" relativeHeight="5">
            <wp:simplePos x="0" y="0"/>
            <wp:positionH relativeFrom="column">
              <wp:posOffset>2105025</wp:posOffset>
            </wp:positionH>
            <wp:positionV relativeFrom="paragraph">
              <wp:posOffset>447675</wp:posOffset>
            </wp:positionV>
            <wp:extent cx="899160" cy="1400810"/>
            <wp:effectExtent l="0" t="0" r="0" b="0"/>
            <wp:wrapNone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Verdana" w:cs="Verdana" w:ascii="Verdana" w:hAnsi="Verdana"/>
          <w:sz w:val="22"/>
          <w:szCs w:val="22"/>
        </w:rPr>
        <w:t xml:space="preserve">A criteri del professorat, es poden incorporar altres tipus de lectures pertinents al procés d’ensenyament-aprenentatge. 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489" w:top="961" w:footer="451" w:bottom="10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/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 MD020205-1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tabs>
        <w:tab w:val="center" w:pos="4818" w:leader="none"/>
        <w:tab w:val="right" w:pos="9637" w:leader="none"/>
      </w:tabs>
      <w:spacing w:lineRule="auto" w:line="240" w:before="0" w:after="0"/>
      <w:ind w:left="0" w:right="0" w:hanging="0"/>
      <w:jc w:val="right"/>
      <w:rPr>
        <w:rFonts w:ascii="Verdana" w:hAnsi="Verdana" w:eastAsia="Verdana" w:cs="Verdana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6"/>
        <w:szCs w:val="16"/>
        <w:u w:val="none"/>
        <w:vertAlign w:val="baseline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Full de presentació de </w:t>
    </w:r>
    <w:r>
      <w:rPr>
        <w:rFonts w:eastAsia="Verdana" w:cs="Verdana" w:ascii="Verdana" w:hAnsi="Verdana"/>
        <w:sz w:val="16"/>
        <w:szCs w:val="16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18415</wp:posOffset>
          </wp:positionH>
          <wp:positionV relativeFrom="paragraph">
            <wp:posOffset>635</wp:posOffset>
          </wp:positionV>
          <wp:extent cx="929640" cy="271145"/>
          <wp:effectExtent l="0" t="0" r="0" b="0"/>
          <wp:wrapTopAndBottom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-92" r="-18" b="-79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27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sz w:val="16"/>
        <w:szCs w:val="16"/>
      </w:rPr>
      <w:t>CAT 2n ESO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2"/>
        <w:u w:val="none"/>
        <w:b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2"/>
        <w:u w:val="no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2"/>
        <w:u w:val="none"/>
        <w:b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sz w:val="22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2"/>
        <w:u w:val="none"/>
        <w:b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2"/>
        <w:u w:val="none"/>
        <w:b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2"/>
        <w:u w:val="none"/>
        <w:b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2"/>
        <w:u w:val="none"/>
        <w:b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  <w:sz w:val="16"/>
        <w:u w:val="no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l"/>
      <w:lvlJc w:val="left"/>
      <w:pPr>
        <w:ind w:left="18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ans CJK SC" w:cs="Lohit Devanagari"/>
        <w:sz w:val="24"/>
        <w:szCs w:val="24"/>
        <w:lang w:val="c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Noto Sans CJK SC" w:cs="Lohit Devanagari"/>
      <w:color w:val="auto"/>
      <w:kern w:val="0"/>
      <w:sz w:val="24"/>
      <w:szCs w:val="24"/>
      <w:lang w:val="ca" w:eastAsia="zh-CN" w:bidi="hi-IN"/>
    </w:rPr>
  </w:style>
  <w:style w:type="paragraph" w:styleId="Ttulo1">
    <w:name w:val="Heading 1"/>
    <w:basedOn w:val="Normal1"/>
    <w:next w:val="Normal"/>
    <w:qFormat/>
    <w:pPr>
      <w:keepNext w:val="true"/>
      <w:spacing w:lineRule="auto" w:line="240" w:before="238" w:after="289"/>
      <w:ind w:left="0" w:hanging="0"/>
    </w:pPr>
    <w:rPr>
      <w:rFonts w:ascii="Verdana" w:hAnsi="Verdana" w:eastAsia="Verdana" w:cs="Verdana"/>
      <w:b/>
      <w:color w:val="000080"/>
      <w:sz w:val="27"/>
      <w:szCs w:val="27"/>
    </w:rPr>
  </w:style>
  <w:style w:type="paragraph" w:styleId="Ttulo2">
    <w:name w:val="Heading 2"/>
    <w:basedOn w:val="Normal1"/>
    <w:next w:val="Normal"/>
    <w:qFormat/>
    <w:pPr>
      <w:keepNext w:val="true"/>
      <w:spacing w:lineRule="auto" w:line="240" w:before="238" w:after="289"/>
      <w:ind w:left="340" w:right="0" w:hanging="0"/>
    </w:pPr>
    <w:rPr>
      <w:rFonts w:ascii="Verdana" w:hAnsi="Verdana" w:eastAsia="Verdana" w:cs="Verdana"/>
      <w:b/>
      <w:i w:val="false"/>
      <w:sz w:val="24"/>
      <w:szCs w:val="24"/>
    </w:rPr>
  </w:style>
  <w:style w:type="paragraph" w:styleId="Ttulo3">
    <w:name w:val="Heading 3"/>
    <w:basedOn w:val="Normal1"/>
    <w:next w:val="Normal"/>
    <w:qFormat/>
    <w:pPr>
      <w:keepNext w:val="true"/>
      <w:spacing w:lineRule="auto" w:line="240" w:before="240" w:after="120"/>
      <w:ind w:left="454" w:right="0" w:hanging="0"/>
    </w:pPr>
    <w:rPr>
      <w:rFonts w:ascii="Verdana" w:hAnsi="Verdana" w:eastAsia="Verdana" w:cs="Verdana"/>
      <w:b/>
      <w:sz w:val="20"/>
      <w:szCs w:val="20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rFonts w:ascii="Verdana" w:hAnsi="Verdana"/>
      <w:b/>
      <w:sz w:val="22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Verdana" w:hAnsi="Verdana"/>
      <w:sz w:val="22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ascii="Verdana" w:hAnsi="Verdana"/>
      <w:b/>
      <w:sz w:val="22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ascii="Verdana" w:hAnsi="Verdana"/>
      <w:sz w:val="22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rFonts w:ascii="Verdana" w:hAnsi="Verdana"/>
      <w:b/>
      <w:sz w:val="22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rFonts w:ascii="Verdana" w:hAnsi="Verdana"/>
      <w:b/>
      <w:sz w:val="22"/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rFonts w:ascii="Verdana" w:hAnsi="Verdana"/>
      <w:b/>
      <w:sz w:val="22"/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rFonts w:ascii="Verdana" w:hAnsi="Verdana"/>
      <w:b/>
      <w:sz w:val="22"/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rFonts w:ascii="Verdana" w:hAnsi="Verdana"/>
      <w:sz w:val="16"/>
      <w:u w:val="none"/>
    </w:rPr>
  </w:style>
  <w:style w:type="character" w:styleId="ListLabel74">
    <w:name w:val="ListLabel 74"/>
    <w:qFormat/>
    <w:rPr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Noto Sans CJK SC" w:cs="Lohit Devanagari"/>
      <w:color w:val="auto"/>
      <w:kern w:val="0"/>
      <w:sz w:val="24"/>
      <w:szCs w:val="24"/>
      <w:lang w:val="ca" w:eastAsia="zh-CN" w:bidi="hi-IN"/>
    </w:rPr>
  </w:style>
  <w:style w:type="paragraph" w:styleId="Titular">
    <w:name w:val="Title"/>
    <w:basedOn w:val="Normal1"/>
    <w:next w:val="Normal"/>
    <w:qFormat/>
    <w:pPr>
      <w:keepNext w:val="true"/>
      <w:spacing w:lineRule="auto" w:line="240" w:before="240" w:after="120"/>
      <w:jc w:val="center"/>
    </w:pPr>
    <w:rPr>
      <w:rFonts w:ascii="Verdana" w:hAnsi="Verdana" w:eastAsia="Verdana" w:cs="Verdana"/>
      <w:b w:val="false"/>
      <w:sz w:val="36"/>
      <w:szCs w:val="36"/>
    </w:rPr>
  </w:style>
  <w:style w:type="paragraph" w:styleId="Subttulo">
    <w:name w:val="Subtitle"/>
    <w:basedOn w:val="Normal1"/>
    <w:next w:val="Normal"/>
    <w:qFormat/>
    <w:pPr>
      <w:keepNext w:val="true"/>
      <w:spacing w:lineRule="auto" w:line="240" w:before="240" w:after="120"/>
      <w:jc w:val="center"/>
    </w:pPr>
    <w:rPr>
      <w:rFonts w:ascii="Arial" w:hAnsi="Arial" w:eastAsia="Arial" w:cs="Arial"/>
      <w:i w:val="false"/>
      <w:sz w:val="28"/>
      <w:szCs w:val="28"/>
    </w:rPr>
  </w:style>
  <w:style w:type="paragraph" w:styleId="Cabecera">
    <w:name w:val="Header"/>
    <w:basedOn w:val="Normal"/>
    <w:pPr/>
    <w:rPr/>
  </w:style>
  <w:style w:type="paragraph" w:styleId="Piedepgina">
    <w:name w:val="Footer"/>
    <w:basedOn w:val="Normal"/>
    <w:pPr/>
    <w:rPr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NAFWIg2ohuJcwMyAmgwOooV+oZw==">CgMxLjA4AHIhMVg4SFZEXzI1bVJxcmZoMGsxVWpOTmg3SThKb1FWMjY4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572</Words>
  <Characters>2979</Characters>
  <CharactersWithSpaces>3470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cp:revision>0</cp:revision>
  <dc:subject/>
  <dc:title/>
</cp:coreProperties>
</file>